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cs="Arial" w:eastAsia="Arial Unicode MS"/>
        </w:rPr>
        <w:t>四条纸包装应用验证任务书</w:t>
      </w:r>
    </w:p>
    <w:p>
      <w:pPr>
        <w:pStyle w:val="Subtitle"/>
      </w:pPr>
      <w:r>
        <w:rPr>
          <w:rFonts w:ascii="Arial" w:hAnsi="Arial" w:cs="Arial" w:eastAsia="Arial Unicode MS"/>
        </w:rPr>
        <w:t>中英双语可编辑模板</w:t>
      </w:r>
      <w:r>
        <w:rPr>
          <w:rFonts w:ascii="Arial" w:hAnsi="Arial" w:cs="Arial" w:eastAsia="Arial Unicode MS"/>
        </w:rPr>
        <w:br/>
        <w:t>Editable bilingual validation brief</w:t>
      </w:r>
    </w:p>
    <w:p>
      <w:r>
        <w:rPr>
          <w:rFonts w:ascii="Arial" w:hAnsi="Arial" w:cs="Arial" w:eastAsia="Arial Unicode MS"/>
        </w:rPr>
        <w:t>用本任务书约定目标、比较组、方法、证据与阶段决定。先选一个应用和一个主要问题，再填写实际对象与条件。</w:t>
      </w:r>
      <w:r>
        <w:rPr>
          <w:rFonts w:ascii="Arial" w:hAnsi="Arial" w:cs="Arial" w:eastAsia="Arial Unicode MS"/>
        </w:rPr>
        <w:br/>
        <w:t>Use this brief to agree objectives, controls, methods, evidence and stage decisions. Start with one application and one main question, then define the actual object and conditions.</w:t>
      </w:r>
    </w:p>
    <w:p>
      <w:r>
        <w:rPr>
          <w:rFonts w:ascii="Arial" w:hAnsi="Arial" w:cs="Arial" w:eastAsia="Arial Unicode MS"/>
        </w:rPr>
        <w:t>空白为待填写。数值0仅代表有记录支持的实际零。样品数、性能判据和责任人须在试验前确认；模板不预设阈值或已通过结果。</w:t>
      </w:r>
      <w:r>
        <w:rPr>
          <w:rFonts w:ascii="Arial" w:hAnsi="Arial" w:cs="Arial" w:eastAsia="Arial Unicode MS"/>
        </w:rPr>
        <w:br/>
        <w:t>Blank fields await input. Use numeric 0 only for a recorded zero. Agree sample counts, performance criteria and owners before testing; this template contains no preset thresholds or passed results.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72"/>
        <w:gridCol w:w="6696"/>
      </w:tblGrid>
      <w:tr>
        <w:trPr>
          <w:cantSplit/>
          <w:tblHeader/>
        </w:trPr>
        <w:tc>
          <w:tcPr>
            <w:tcW w:type="dxa" w:w="3672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项目字段</w:t>
              <w:br/>
              <w:t>Project field</w:t>
            </w:r>
          </w:p>
        </w:tc>
        <w:tc>
          <w:tcPr>
            <w:tcW w:type="dxa" w:w="669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填写内容</w:t>
              <w:br/>
              <w:t>Your entry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记录编号及版本</w:t>
              <w:br/>
              <w:t>Record ID and version</w:t>
            </w:r>
          </w:p>
        </w:tc>
        <w:tc>
          <w:tcPr>
            <w:tcW w:type="dxa" w:w="669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目标应用与制品</w:t>
              <w:br/>
              <w:t>Application and complete pack</w:t>
            </w:r>
          </w:p>
        </w:tc>
        <w:tc>
          <w:tcPr>
            <w:tcW w:type="dxa" w:w="669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材料公开牌号及批次</w:t>
              <w:br/>
              <w:t>Public material grades and batches</w:t>
            </w:r>
          </w:p>
        </w:tc>
        <w:tc>
          <w:tcPr>
            <w:tcW w:type="dxa" w:w="669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比较组及对照记录号</w:t>
              <w:br/>
              <w:t>Comparison group and control ID</w:t>
            </w:r>
          </w:p>
        </w:tc>
        <w:tc>
          <w:tcPr>
            <w:tcW w:type="dxa" w:w="669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目标市场与使用条件</w:t>
              <w:br/>
              <w:t>Market and intended conditions</w:t>
            </w:r>
          </w:p>
        </w:tc>
        <w:tc>
          <w:tcPr>
            <w:tcW w:type="dxa" w:w="669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日期及记录人</w:t>
              <w:br/>
              <w:t>Date and recorder</w:t>
            </w:r>
          </w:p>
        </w:tc>
        <w:tc>
          <w:tcPr>
            <w:tcW w:type="dxa" w:w="669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 w:cs="Arial" w:eastAsia="Arial Unicode MS"/>
        </w:rPr>
        <w:t>本轮要回答的一个问题</w:t>
      </w:r>
      <w:r>
        <w:rPr>
          <w:rFonts w:ascii="Arial" w:hAnsi="Arial" w:cs="Arial" w:eastAsia="Arial Unicode MS"/>
        </w:rPr>
        <w:br/>
        <w:t>One question this round must answer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2"/>
        <w:keepNext/>
      </w:pPr>
      <w:r>
        <w:rPr>
          <w:rFonts w:ascii="Arial" w:hAnsi="Arial" w:cs="Arial" w:eastAsia="Arial Unicode MS"/>
        </w:rPr>
        <w:t>已知事实与来源记录号</w:t>
      </w:r>
      <w:r>
        <w:rPr>
          <w:rFonts w:ascii="Arial" w:hAnsi="Arial" w:cs="Arial" w:eastAsia="Arial Unicode MS"/>
        </w:rPr>
        <w:br/>
        <w:t>Known facts and source record IDs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1"/>
        <w:pageBreakBefore/>
      </w:pPr>
      <w:r>
        <w:rPr>
          <w:rFonts w:ascii="Arial" w:hAnsi="Arial" w:cs="Arial" w:eastAsia="Arial Unicode MS"/>
        </w:rPr>
        <w:t>比较安排与评价方法</w:t>
      </w:r>
      <w:r>
        <w:rPr>
          <w:rFonts w:ascii="Arial" w:hAnsi="Arial" w:cs="Arial" w:eastAsia="Arial Unicode MS"/>
        </w:rPr>
        <w:br/>
        <w:t>Comparisons and assessment methods</w:t>
      </w:r>
    </w:p>
    <w:p>
      <w:r>
        <w:rPr>
          <w:rFonts w:ascii="Arial" w:hAnsi="Arial" w:cs="Arial" w:eastAsia="Arial Unicode MS"/>
        </w:rPr>
        <w:t>保留现用对照。只研究材料时尽量固定其他条件；比较整套方案时明确有哪些变化。独立包装与同一样品重复观察分开计数。</w:t>
      </w:r>
      <w:r>
        <w:rPr>
          <w:rFonts w:ascii="Arial" w:hAnsi="Arial" w:cs="Arial" w:eastAsia="Arial Unicode MS"/>
        </w:rPr>
        <w:br/>
        <w:t>Retain the current control. Hold other conditions comparable when examining a material; list all changes when comparing a system. Distinguish independent packages from repeated observations of one sample.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48"/>
        <w:gridCol w:w="3960"/>
        <w:gridCol w:w="3960"/>
      </w:tblGrid>
      <w:tr>
        <w:trPr>
          <w:cantSplit/>
          <w:tblHeader/>
        </w:trPr>
        <w:tc>
          <w:tcPr>
            <w:tcW w:type="dxa" w:w="2448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评价项</w:t>
              <w:br/>
              <w:t>Assessment</w:t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方法及条件</w:t>
              <w:br/>
              <w:t>Method and conditions</w:t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接受条件及来源</w:t>
              <w:br/>
              <w:t>Criteria and source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主要功能</w:t>
              <w:br/>
              <w:t>Primary function</w:t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接头及完整包装</w:t>
              <w:br/>
              <w:t>Joints and complete pack</w:t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食品或使用终点</w:t>
              <w:br/>
              <w:t>Food or use endpoint</w:t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用途与末端资料</w:t>
              <w:br/>
              <w:t>Use and end-of-life evidence</w:t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  <w:tc>
          <w:tcPr>
            <w:tcW w:type="dxa" w:w="39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 w:cs="Arial" w:eastAsia="Arial Unicode MS"/>
        </w:rPr>
        <w:t>样品数批次评价节点与留样安排</w:t>
      </w:r>
      <w:r>
        <w:rPr>
          <w:rFonts w:ascii="Arial" w:hAnsi="Arial" w:cs="Arial" w:eastAsia="Arial Unicode MS"/>
        </w:rPr>
        <w:br/>
        <w:t>Sample count batches time points and retained samples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2"/>
        <w:keepNext/>
      </w:pPr>
      <w:r>
        <w:rPr>
          <w:rFonts w:ascii="Arial" w:hAnsi="Arial" w:cs="Arial" w:eastAsia="Arial Unicode MS"/>
        </w:rPr>
        <w:t>设备可调范围与停止条件</w:t>
      </w:r>
      <w:r>
        <w:rPr>
          <w:rFonts w:ascii="Arial" w:hAnsi="Arial" w:cs="Arial" w:eastAsia="Arial Unicode MS"/>
        </w:rPr>
        <w:br/>
        <w:t>Machine adjustment range and stop conditions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2"/>
        <w:keepNext/>
      </w:pPr>
      <w:r>
        <w:rPr>
          <w:rFonts w:ascii="Arial" w:hAnsi="Arial" w:cs="Arial" w:eastAsia="Arial Unicode MS"/>
        </w:rPr>
        <w:t>原始记录号与样品的对应关系</w:t>
      </w:r>
      <w:r>
        <w:rPr>
          <w:rFonts w:ascii="Arial" w:hAnsi="Arial" w:cs="Arial" w:eastAsia="Arial Unicode MS"/>
        </w:rPr>
        <w:br/>
        <w:t>Links between raw record IDs and samples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r>
        <w:rPr>
          <w:rFonts w:ascii="Arial" w:hAnsi="Arial" w:cs="Arial" w:eastAsia="Arial Unicode MS"/>
        </w:rPr>
        <w:t>材料、平纸、折后和完整制品结果分别保存。食品接触、回收和堆肥使用各自对象与证据。气味观察不能替代食品接触安全评价。</w:t>
      </w:r>
      <w:r>
        <w:rPr>
          <w:rFonts w:ascii="Arial" w:hAnsi="Arial" w:cs="Arial" w:eastAsia="Arial Unicode MS"/>
        </w:rPr>
        <w:br/>
        <w:t>Keep material, flat sheet, after fold and complete pack results distinct. Use object-specific evidence for food contact, recycling and compostability. Odour observation does not replace food contact safety evaluation.</w:t>
      </w:r>
    </w:p>
    <w:p>
      <w:pPr>
        <w:pStyle w:val="Heading1"/>
        <w:pageBreakBefore/>
      </w:pPr>
      <w:r>
        <w:rPr>
          <w:rFonts w:ascii="Arial" w:hAnsi="Arial" w:cs="Arial" w:eastAsia="Arial Unicode MS"/>
        </w:rPr>
        <w:t>纸杯验证任务</w:t>
      </w:r>
      <w:r>
        <w:rPr>
          <w:rFonts w:ascii="Arial" w:hAnsi="Arial" w:cs="Arial" w:eastAsia="Arial Unicode MS"/>
        </w:rPr>
        <w:br/>
        <w:t>Paper cup validation brief</w:t>
      </w:r>
    </w:p>
    <w:p>
      <w:r>
        <w:rPr>
          <w:rFonts w:ascii="Arial" w:hAnsi="Arial" w:cs="Arial" w:eastAsia="Arial Unicode MS"/>
        </w:rPr>
        <w:t>先记录第一处起漏，再检查杯身侧缝与杯底连接。完整杯、拆检与材料结果分别记录。</w:t>
      </w:r>
      <w:r>
        <w:rPr>
          <w:rFonts w:ascii="Arial" w:hAnsi="Arial" w:cs="Arial" w:eastAsia="Arial Unicode MS"/>
        </w:rPr>
        <w:br/>
        <w:t>Record the first leak before inspecting body seams and bottom joints. Keep whole cup observations separate from destructive and material tests.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检查重点</w:t>
              <w:br/>
              <w:t>Focus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应安排或记录什么</w:t>
              <w:br/>
              <w:t>What to arrange or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先排除外溢与杯盖沿流</w:t>
              <w:br/>
              <w:t>Check spillage and lid run-off first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记录第一漏点、首次时间、观察截止及方位。</w:t>
              <w:br/>
              <w:t>Record first leak, elapsed time, observation end and orientation.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杯身和杯底分别识别</w:t>
              <w:br/>
              <w:t>Identify body and bottom separately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写明接触层、批次、侧缝及底封工位。</w:t>
              <w:br/>
              <w:t>Record contact layers, batches, side seam and bottom stations.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保留现用对照</w:t>
              <w:br/>
              <w:t>Keep the current control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同一条件比较，拆检与完整杯观察分开。</w:t>
              <w:br/>
              <w:t>Compare under the same conditions and separate destructive from whole cup observations.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记录正常加工窗口</w:t>
              <w:br/>
              <w:t>Record the normal operating window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设备设定值与真实界面条件分开。</w:t>
              <w:br/>
              <w:t>Distinguish setpoints from actual interface conditions.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 w:cs="Arial" w:eastAsia="Arial Unicode MS"/>
        </w:rPr>
        <w:t>本轮样品方法与接受条件</w:t>
      </w:r>
      <w:r>
        <w:rPr>
          <w:rFonts w:ascii="Arial" w:hAnsi="Arial" w:cs="Arial" w:eastAsia="Arial Unicode MS"/>
        </w:rPr>
        <w:br/>
        <w:t>Samples methods and agreed criteria for this round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2"/>
        <w:keepNext/>
      </w:pPr>
      <w:r>
        <w:rPr>
          <w:rFonts w:ascii="Arial" w:hAnsi="Arial" w:cs="Arial" w:eastAsia="Arial Unicode MS"/>
        </w:rPr>
        <w:t>实测或观察结果及原始记录号</w:t>
      </w:r>
      <w:r>
        <w:rPr>
          <w:rFonts w:ascii="Arial" w:hAnsi="Arial" w:cs="Arial" w:eastAsia="Arial Unicode MS"/>
        </w:rPr>
        <w:br/>
        <w:t>Measured or observed results and raw record IDs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阶段决定</w:t>
              <w:br/>
              <w:t>Stage decision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待决定 Pending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选择并写明范围</w:t>
              <w:br/>
              <w:t>Select and state the scope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继续下一阶段 / Next stage; 调整复验 / Retest</w:t>
              <w:br/>
              <w:t>补证 / Obtain evidence; 暂停 / Pause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证据缺口与复验条件</w:t>
              <w:br/>
              <w:t>Evidence gaps and retest triggers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下一步负责人日期与确认</w:t>
              <w:br/>
              <w:t>Next action owner date and review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cs="Arial" w:eastAsia="Arial Unicode MS"/>
        </w:rPr>
        <w:t xml:space="preserve">方法依据 / Sources: </w:t>
      </w:r>
      <w:hyperlink r:id="rId11">
        <w:r>
          <w:rPr>
            <w:color w:val="183F34"/>
            <w:u w:val="single"/>
            <w:rFonts w:ascii="Arial" w:hAnsi="Arial" w:cs="Arial" w:eastAsia="Arial Unicode MS"/>
          </w:rPr>
          <w:t>M1 热饮杯指南 / Hot cup guide</w:t>
        </w:r>
      </w:hyperlink>
      <w:r>
        <w:rPr>
          <w:rFonts w:ascii="Arial" w:hAnsi="Arial" w:cs="Arial" w:eastAsia="Arial Unicode MS"/>
        </w:rPr>
        <w:t xml:space="preserve">  </w:t>
      </w:r>
      <w:hyperlink r:id="rId12">
        <w:r>
          <w:rPr>
            <w:color w:val="183F34"/>
            <w:u w:val="single"/>
            <w:rFonts w:ascii="Arial" w:hAnsi="Arial" w:cs="Arial" w:eastAsia="Arial Unicode MS"/>
          </w:rPr>
          <w:t>M3 共用方法 / Shared methods</w:t>
        </w:r>
      </w:hyperlink>
    </w:p>
    <w:p>
      <w:pPr>
        <w:pStyle w:val="Heading1"/>
        <w:pageBreakBefore/>
      </w:pPr>
      <w:r>
        <w:rPr>
          <w:rFonts w:ascii="Arial" w:hAnsi="Arial" w:cs="Arial" w:eastAsia="Arial Unicode MS"/>
        </w:rPr>
        <w:t>纸袋与食品验证任务</w:t>
      </w:r>
      <w:r>
        <w:rPr>
          <w:rFonts w:ascii="Arial" w:hAnsi="Arial" w:cs="Arial" w:eastAsia="Arial Unicode MS"/>
        </w:rPr>
        <w:br/>
        <w:t>Paper bag and food validation brief</w:t>
      </w:r>
    </w:p>
    <w:p>
      <w:r>
        <w:rPr>
          <w:rFonts w:ascii="Arial" w:hAnsi="Arial" w:cs="Arial" w:eastAsia="Arial Unicode MS"/>
        </w:rPr>
        <w:t>纸袋记录先明确食品与交付时间。油斑、凝露、表皮和内部口感各自评价。</w:t>
      </w:r>
      <w:r>
        <w:rPr>
          <w:rFonts w:ascii="Arial" w:hAnsi="Arial" w:cs="Arial" w:eastAsia="Arial Unicode MS"/>
        </w:rPr>
        <w:br/>
        <w:t>Define the food and delivery interval first. Evaluate grease marks, condensation, crust and crumb separately.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检查重点</w:t>
              <w:br/>
              <w:t>Focus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应安排或记录什么</w:t>
              <w:br/>
              <w:t>What to arrange or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食品与冷却基线</w:t>
              <w:br/>
              <w:t>Food and cooling baseline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记录食品批次、装填量及装袋前状态。</w:t>
              <w:br/>
              <w:t>Record food batch, fill quantity and condition before packing.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两段时间</w:t>
              <w:br/>
              <w:t>Two elapsed intervals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分别记录出炉至评价、装袋至评价。</w:t>
              <w:br/>
              <w:t>Record oven-to-assessment and packing-to-assessment intervals separately.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油斑与凝露</w:t>
              <w:br/>
              <w:t>Grease marks and condensation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分开记录位置、出现时间和变化。</w:t>
              <w:br/>
              <w:t>Record location, onset and progression separately.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表皮与内部</w:t>
              <w:br/>
              <w:t>Crust and crumb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分别约定目标，各时间点用独立包装样。</w:t>
              <w:br/>
              <w:t>Agree separate outcomes and use independent packages for each time point.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 w:cs="Arial" w:eastAsia="Arial Unicode MS"/>
        </w:rPr>
        <w:t>本轮样品方法与接受条件</w:t>
      </w:r>
      <w:r>
        <w:rPr>
          <w:rFonts w:ascii="Arial" w:hAnsi="Arial" w:cs="Arial" w:eastAsia="Arial Unicode MS"/>
        </w:rPr>
        <w:br/>
        <w:t>Samples methods and agreed criteria for this round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2"/>
        <w:keepNext/>
      </w:pPr>
      <w:r>
        <w:rPr>
          <w:rFonts w:ascii="Arial" w:hAnsi="Arial" w:cs="Arial" w:eastAsia="Arial Unicode MS"/>
        </w:rPr>
        <w:t>实测或观察结果及原始记录号</w:t>
      </w:r>
      <w:r>
        <w:rPr>
          <w:rFonts w:ascii="Arial" w:hAnsi="Arial" w:cs="Arial" w:eastAsia="Arial Unicode MS"/>
        </w:rPr>
        <w:br/>
        <w:t>Measured or observed results and raw record IDs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阶段决定</w:t>
              <w:br/>
              <w:t>Stage decision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待决定 Pending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选择并写明范围</w:t>
              <w:br/>
              <w:t>Select and state the scope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继续下一阶段 / Next stage; 调整复验 / Retest</w:t>
              <w:br/>
              <w:t>补证 / Obtain evidence; 暂停 / Pause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证据缺口与复验条件</w:t>
              <w:br/>
              <w:t>Evidence gaps and retest triggers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下一步负责人日期与确认</w:t>
              <w:br/>
              <w:t>Next action owner date and review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cs="Arial" w:eastAsia="Arial Unicode MS"/>
        </w:rPr>
        <w:t xml:space="preserve">方法依据 / Sources: </w:t>
      </w:r>
      <w:hyperlink r:id="rId13">
        <w:r>
          <w:rPr>
            <w:color w:val="183F34"/>
            <w:u w:val="single"/>
            <w:rFonts w:ascii="Arial" w:hAnsi="Arial" w:cs="Arial" w:eastAsia="Arial Unicode MS"/>
          </w:rPr>
          <w:t>M2 烘焙袋指南 / Bakery bag guide</w:t>
        </w:r>
      </w:hyperlink>
      <w:r>
        <w:rPr>
          <w:rFonts w:ascii="Arial" w:hAnsi="Arial" w:cs="Arial" w:eastAsia="Arial Unicode MS"/>
        </w:rPr>
        <w:t xml:space="preserve">  </w:t>
      </w:r>
      <w:hyperlink r:id="rId12">
        <w:r>
          <w:rPr>
            <w:color w:val="183F34"/>
            <w:u w:val="single"/>
            <w:rFonts w:ascii="Arial" w:hAnsi="Arial" w:cs="Arial" w:eastAsia="Arial Unicode MS"/>
          </w:rPr>
          <w:t>M3 共用方法 / Shared methods</w:t>
        </w:r>
      </w:hyperlink>
    </w:p>
    <w:p>
      <w:pPr>
        <w:pStyle w:val="Heading1"/>
        <w:pageBreakBefore/>
      </w:pPr>
      <w:r>
        <w:rPr>
          <w:rFonts w:ascii="Arial" w:hAnsi="Arial" w:cs="Arial" w:eastAsia="Arial Unicode MS"/>
        </w:rPr>
        <w:t>食品纸基软包装验证任务</w:t>
      </w:r>
      <w:r>
        <w:rPr>
          <w:rFonts w:ascii="Arial" w:hAnsi="Arial" w:cs="Arial" w:eastAsia="Arial Unicode MS"/>
        </w:rPr>
        <w:br/>
        <w:t>Paper-based flexible food packaging brief</w:t>
      </w:r>
    </w:p>
    <w:p>
      <w:r>
        <w:rPr>
          <w:rFonts w:ascii="Arial" w:hAnsi="Arial" w:cs="Arial" w:eastAsia="Arial Unicode MS"/>
        </w:rPr>
        <w:t>阻隔筛查、封口完整性与完整包装储存分别记录。单项材料数据不直接换成食品保质期。</w:t>
      </w:r>
      <w:r>
        <w:rPr>
          <w:rFonts w:ascii="Arial" w:hAnsi="Arial" w:cs="Arial" w:eastAsia="Arial Unicode MS"/>
        </w:rPr>
        <w:br/>
        <w:t>Record barrier screening, seal integrity and complete package storage separately. Do not convert a material test directly into food shelf life.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检查重点</w:t>
              <w:br/>
              <w:t>Focus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应安排或记录什么</w:t>
              <w:br/>
              <w:t>What to arrange or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先定义食品需求</w:t>
              <w:br/>
              <w:t>Define food requirements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明确水汽氧气油脂及气味敏感性与交付节点。</w:t>
              <w:br/>
              <w:t>Define moisture, oxygen, grease and odour sensitivities and the delivery endpoint.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阻隔测定条件</w:t>
              <w:br/>
              <w:t>Barrier test conditions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单位、温湿度、压差、方向与方法共同保存。</w:t>
              <w:br/>
              <w:t>Retain units, temperature, humidity, pressure difference, direction and method.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封口与整包</w:t>
              <w:br/>
              <w:t>Seals and complete packages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记录通道、破坏模式，另做整包储存观察。</w:t>
              <w:br/>
              <w:t>Record channels and failure modes and assess complete package storage separately.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储存结论边界</w:t>
              <w:br/>
              <w:t>Storage conclusion scope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记录食品批次、评价节点和气味对照。</w:t>
              <w:br/>
              <w:t>Record food batch, assessment points and odour control.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 w:cs="Arial" w:eastAsia="Arial Unicode MS"/>
        </w:rPr>
        <w:t>本轮样品方法与接受条件</w:t>
      </w:r>
      <w:r>
        <w:rPr>
          <w:rFonts w:ascii="Arial" w:hAnsi="Arial" w:cs="Arial" w:eastAsia="Arial Unicode MS"/>
        </w:rPr>
        <w:br/>
        <w:t>Samples methods and agreed criteria for this round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2"/>
        <w:keepNext/>
      </w:pPr>
      <w:r>
        <w:rPr>
          <w:rFonts w:ascii="Arial" w:hAnsi="Arial" w:cs="Arial" w:eastAsia="Arial Unicode MS"/>
        </w:rPr>
        <w:t>实测或观察结果及原始记录号</w:t>
      </w:r>
      <w:r>
        <w:rPr>
          <w:rFonts w:ascii="Arial" w:hAnsi="Arial" w:cs="Arial" w:eastAsia="Arial Unicode MS"/>
        </w:rPr>
        <w:br/>
        <w:t>Measured or observed results and raw record IDs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阶段决定</w:t>
              <w:br/>
              <w:t>Stage decision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待决定 Pending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选择并写明范围</w:t>
              <w:br/>
              <w:t>Select and state the scope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继续下一阶段 / Next stage; 调整复验 / Retest</w:t>
              <w:br/>
              <w:t>补证 / Obtain evidence; 暂停 / Pause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证据缺口与复验条件</w:t>
              <w:br/>
              <w:t>Evidence gaps and retest triggers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下一步负责人日期与确认</w:t>
              <w:br/>
              <w:t>Next action owner date and review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cs="Arial" w:eastAsia="Arial Unicode MS"/>
        </w:rPr>
        <w:t xml:space="preserve">方法依据 / Sources: </w:t>
      </w:r>
      <w:hyperlink r:id="rId12">
        <w:r>
          <w:rPr>
            <w:color w:val="183F34"/>
            <w:u w:val="single"/>
            <w:rFonts w:ascii="Arial" w:hAnsi="Arial" w:cs="Arial" w:eastAsia="Arial Unicode MS"/>
          </w:rPr>
          <w:t>M3 共用方法 / Shared methods</w:t>
        </w:r>
      </w:hyperlink>
      <w:r>
        <w:rPr>
          <w:rFonts w:ascii="Arial" w:hAnsi="Arial" w:cs="Arial" w:eastAsia="Arial Unicode MS"/>
        </w:rPr>
        <w:t xml:space="preserve">  </w:t>
      </w:r>
      <w:hyperlink r:id="rId14">
        <w:r>
          <w:rPr>
            <w:color w:val="183F34"/>
            <w:u w:val="single"/>
            <w:rFonts w:ascii="Arial" w:hAnsi="Arial" w:cs="Arial" w:eastAsia="Arial Unicode MS"/>
          </w:rPr>
          <w:t>M5 阻隔纸资料 / Barrier paper data</w:t>
        </w:r>
      </w:hyperlink>
    </w:p>
    <w:p>
      <w:pPr>
        <w:pStyle w:val="Heading1"/>
        <w:pageBreakBefore/>
      </w:pPr>
      <w:r>
        <w:rPr>
          <w:rFonts w:ascii="Arial" w:hAnsi="Arial" w:cs="Arial" w:eastAsia="Arial Unicode MS"/>
        </w:rPr>
        <w:t>水涂纸加工与应用验证任务</w:t>
      </w:r>
      <w:r>
        <w:rPr>
          <w:rFonts w:ascii="Arial" w:hAnsi="Arial" w:cs="Arial" w:eastAsia="Arial Unicode MS"/>
        </w:rPr>
        <w:br/>
        <w:t>Waterborne coated paper process and application brief</w:t>
      </w:r>
    </w:p>
    <w:p>
      <w:r>
        <w:rPr>
          <w:rFonts w:ascii="Arial" w:hAnsi="Arial" w:cs="Arial" w:eastAsia="Arial Unicode MS"/>
        </w:rPr>
        <w:t>用公开牌号串联基纸、涂布干燥和后加工。平纸、折后和制品结果分别保留。</w:t>
      </w:r>
      <w:r>
        <w:rPr>
          <w:rFonts w:ascii="Arial" w:hAnsi="Arial" w:cs="Arial" w:eastAsia="Arial Unicode MS"/>
        </w:rPr>
        <w:br/>
        <w:t>Use public grades to connect base paper, coating, drying and converting. Keep flat sheet, after fold and finished pack results separate.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检查重点</w:t>
              <w:br/>
              <w:t>Focus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应安排或记录什么</w:t>
              <w:br/>
              <w:t>What to arrange or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基纸与公开牌号</w:t>
              <w:br/>
              <w:t>Base paper and public grade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记录定量、批次、涂布面，不填写内部配方。</w:t>
              <w:br/>
              <w:t>Record grammage, batch and coated faces without internal formulation recipes.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干涂量和水分</w:t>
              <w:br/>
              <w:t>Dry coat weight and moisture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写明实测对象、单位、取样及方法。</w:t>
              <w:br/>
              <w:t>State measured object, units, sampling and method.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干燥与加工</w:t>
              <w:br/>
              <w:t>Drying and converting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区分设备设定值、纸温、线速及后处理。</w:t>
              <w:br/>
              <w:t>Distinguish machine setpoints, web temperature, line speed and post-treatment.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三种受测对象</w:t>
              <w:br/>
              <w:t>Three test objects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平纸、折后与完整制品分开留样记录。</w:t>
              <w:br/>
              <w:t>Retain separate samples and records for flat sheets, folds and complete packs.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rPr>
          <w:rFonts w:ascii="Arial" w:hAnsi="Arial" w:cs="Arial" w:eastAsia="Arial Unicode MS"/>
        </w:rPr>
        <w:t>本轮样品方法与接受条件</w:t>
      </w:r>
      <w:r>
        <w:rPr>
          <w:rFonts w:ascii="Arial" w:hAnsi="Arial" w:cs="Arial" w:eastAsia="Arial Unicode MS"/>
        </w:rPr>
        <w:br/>
        <w:t>Samples methods and agreed criteria for this round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p>
      <w:pPr>
        <w:pStyle w:val="Heading2"/>
        <w:keepNext/>
      </w:pPr>
      <w:r>
        <w:rPr>
          <w:rFonts w:ascii="Arial" w:hAnsi="Arial" w:cs="Arial" w:eastAsia="Arial Unicode MS"/>
        </w:rPr>
        <w:t>实测或观察结果及原始记录号</w:t>
      </w:r>
      <w:r>
        <w:rPr>
          <w:rFonts w:ascii="Arial" w:hAnsi="Arial" w:cs="Arial" w:eastAsia="Arial Unicode MS"/>
        </w:rPr>
        <w:br/>
        <w:t>Measured or observed results and raw record IDs</w:t>
      </w:r>
    </w:p>
    <w:p>
      <w:pPr>
        <w:spacing w:after="80"/>
      </w:pPr>
      <w:r>
        <w:rPr>
          <w:color w:val="AAAAAA"/>
          <w:sz w:val="18"/>
          <w:rFonts w:ascii="Arial" w:hAnsi="Arial" w:cs="Arial" w:eastAsia="Arial Unicode MS"/>
        </w:rP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6984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阶段决定</w:t>
              <w:br/>
              <w:t>Stage decision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303A36"/>
          </w:tcPr>
          <w:p>
            <w:pPr>
              <w:spacing w:after="40" w:before="40" w:line="250" w:lineRule="exact"/>
            </w:pPr>
            <w:r>
              <w:rPr>
                <w:b/>
                <w:color w:val="FFFFFF"/>
                <w:sz w:val="19"/>
                <w:rFonts w:ascii="Arial" w:hAnsi="Arial" w:cs="Arial" w:eastAsia="Arial Unicode MS"/>
              </w:rPr>
              <w:t>待决定 Pending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选择并写明范围</w:t>
              <w:br/>
              <w:t>Select and state the scope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继续下一阶段 / Next stage; 调整复验 / Retest</w:t>
              <w:br/>
              <w:t>补证 / Obtain evidence; 暂停 / Pause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证据缺口与复验条件</w:t>
              <w:br/>
              <w:t>Evidence gaps and retest triggers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  <w:t>下一步负责人日期与确认</w:t>
              <w:br/>
              <w:t>Next action owner date and review</w:t>
            </w:r>
          </w:p>
        </w:tc>
        <w:tc>
          <w:tcPr>
            <w:tcW w:type="dxa" w:w="6984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after="40" w:before="40" w:line="250" w:lineRule="exact"/>
            </w:pPr>
            <w:r>
              <w:rPr>
                <w:sz w:val="19"/>
                <w:rFonts w:ascii="Arial" w:hAnsi="Arial" w:cs="Arial" w:eastAsia="Arial Unicode MS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cs="Arial" w:eastAsia="Arial Unicode MS"/>
        </w:rPr>
        <w:t xml:space="preserve">方法依据 / Sources: </w:t>
      </w:r>
      <w:hyperlink r:id="rId12">
        <w:r>
          <w:rPr>
            <w:color w:val="183F34"/>
            <w:u w:val="single"/>
            <w:rFonts w:ascii="Arial" w:hAnsi="Arial" w:cs="Arial" w:eastAsia="Arial Unicode MS"/>
          </w:rPr>
          <w:t>M3 共用方法 / Shared methods</w:t>
        </w:r>
      </w:hyperlink>
      <w:r>
        <w:rPr>
          <w:rFonts w:ascii="Arial" w:hAnsi="Arial" w:cs="Arial" w:eastAsia="Arial Unicode MS"/>
        </w:rPr>
        <w:t xml:space="preserve">  </w:t>
      </w:r>
      <w:hyperlink r:id="rId15">
        <w:r>
          <w:rPr>
            <w:color w:val="183F34"/>
            <w:u w:val="single"/>
            <w:rFonts w:ascii="Arial" w:hAnsi="Arial" w:cs="Arial" w:eastAsia="Arial Unicode MS"/>
          </w:rPr>
          <w:t>M4 水涂纸资源 / Waterborne resources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V3.11.0   2026-10-23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F6963"/>
        <w:sz w:val="16"/>
      </w:rPr>
      <w:t>博碳开发者   BIOTEN Developers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0" w:lineRule="exact"/>
    </w:pPr>
    <w:rPr>
      <w:rFonts w:ascii="Arial" w:hAnsi="Arial" w:cs="Arial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380" w:lineRule="exact"/>
      <w:outlineLvl w:val="0"/>
    </w:pPr>
    <w:rPr>
      <w:rFonts w:cstheme="majorBidi" w:ascii="Arial" w:hAnsi="Arial" w:cs="Arial" w:eastAsia="Arial Unicode M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70" w:lineRule="exact"/>
      <w:outlineLvl w:val="1"/>
    </w:pPr>
    <w:rPr>
      <w:rFonts w:cstheme="majorBidi" w:ascii="Arial" w:hAnsi="Arial" w:cs="Arial" w:eastAsia="Arial Unicode M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540" w:lineRule="exact"/>
      <w:contextualSpacing/>
    </w:pPr>
    <w:rPr>
      <w:rFonts w:cstheme="majorBidi" w:ascii="Arial" w:hAnsi="Arial" w:cs="Arial" w:eastAsia="Arial Unicode MS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70" w:lineRule="exact"/>
    </w:pPr>
    <w:rPr>
      <w:rFonts w:cstheme="majorBidi" w:ascii="Arial" w:hAnsi="Arial" w:cs="Arial" w:eastAsia="Arial Unicode MS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dbc.cn/bioten/packaging/insights/hot-cups/" TargetMode="External"/><Relationship Id="rId12" Type="http://schemas.openxmlformats.org/officeDocument/2006/relationships/hyperlink" Target="https://www.dbc.cn/bioten/packaging/insights/packaging-decisions/" TargetMode="External"/><Relationship Id="rId13" Type="http://schemas.openxmlformats.org/officeDocument/2006/relationships/hyperlink" Target="https://www.dbc.cn/bioten/packaging/insights/bakery-bags/" TargetMode="External"/><Relationship Id="rId14" Type="http://schemas.openxmlformats.org/officeDocument/2006/relationships/hyperlink" Target="https://www.mondigroup.com/products-and-solutions/flexible-packaging/functional-barrier-papers/" TargetMode="External"/><Relationship Id="rId15" Type="http://schemas.openxmlformats.org/officeDocument/2006/relationships/hyperlink" Target="https://www.dbc.cn/bioten/packaging/resources/waterbor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四条纸包装应用验证任务书</dc:title>
  <dc:subject>Bilingual validation planning and stage decisions for four paper packaging pathways</dc:subject>
  <dc:creator>BIOTEN Developers</dc:creator>
  <cp:keywords>paper cups, paper bags, food flexible packaging, waterborne coated paper, validation template</cp:keywords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