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 w:eastAsia="Arial Unicode MS" w:cs="Arial Unicode MS"/>
        </w:rPr>
        <w:t>纸包装验证任务书与阶段决定</w:t>
      </w:r>
    </w:p>
    <w:p>
      <w:r>
        <w:rPr>
          <w:rFonts w:ascii="Arial Unicode MS" w:hAnsi="Arial Unicode MS" w:eastAsia="Arial Unicode MS" w:cs="Arial Unicode MS"/>
        </w:rPr>
        <w:t>适用于纸材、功能材料、涂布印刷、包装转换和终端使用的共同开发。先确认一个目标制品、一个现用对照及本轮要回答的问题，再补齐验证安排。</w:t>
      </w:r>
    </w:p>
    <w:p>
      <w:r>
        <w:rPr>
          <w:rFonts w:ascii="Arial Unicode MS" w:hAnsi="Arial Unicode MS" w:eastAsia="Arial Unicode MS" w:cs="Arial Unicode MS"/>
        </w:rPr>
        <w:t>本文件为空白工作模板。尚未填写的字段均为待确认；接受条件、样品数量、方法及责任人在试验前共同约定。模板中的方法提示不代表产品已通过。</w:t>
      </w:r>
    </w:p>
    <w:p>
      <w:pPr>
        <w:pStyle w:val="Heading1"/>
      </w:pPr>
      <w:r>
        <w:rPr>
          <w:rFonts w:ascii="Arial Unicode MS" w:hAnsi="Arial Unicode MS" w:eastAsia="Arial Unicode MS" w:cs="Arial Unicode MS"/>
        </w:rPr>
        <w:t>项目定义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40"/>
        <w:gridCol w:w="6912"/>
      </w:tblGrid>
      <w:tr>
        <w:trPr>
          <w:tblHeader/>
        </w:trPr>
        <w:tc>
          <w:tcPr>
            <w:tcW w:type="dxa" w:w="3240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信息项</w:t>
            </w:r>
          </w:p>
        </w:tc>
        <w:tc>
          <w:tcPr>
            <w:tcW w:type="dxa" w:w="6912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项目填写</w:t>
            </w:r>
          </w:p>
        </w:tc>
      </w:tr>
      <w:tr>
        <w:tc>
          <w:tcPr>
            <w:tcW w:type="dxa" w:w="324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项目编号及版本</w:t>
            </w:r>
          </w:p>
        </w:tc>
        <w:tc>
          <w:tcPr>
            <w:tcW w:type="dxa" w:w="691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</w:tr>
      <w:tr>
        <w:tc>
          <w:tcPr>
            <w:tcW w:type="dxa" w:w="3240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目标制品与应用编号</w:t>
            </w:r>
          </w:p>
        </w:tc>
        <w:tc>
          <w:tcPr>
            <w:tcW w:type="dxa" w:w="6912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</w:tr>
      <w:tr>
        <w:tc>
          <w:tcPr>
            <w:tcW w:type="dxa" w:w="324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需求方与参与角色</w:t>
            </w:r>
          </w:p>
        </w:tc>
        <w:tc>
          <w:tcPr>
            <w:tcW w:type="dxa" w:w="691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待填写；参与与责任尚待认领</w:t>
            </w:r>
          </w:p>
        </w:tc>
      </w:tr>
      <w:tr>
        <w:tc>
          <w:tcPr>
            <w:tcW w:type="dxa" w:w="3240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核验市场与实际用途</w:t>
            </w:r>
          </w:p>
        </w:tc>
        <w:tc>
          <w:tcPr>
            <w:tcW w:type="dxa" w:w="6912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</w:tr>
      <w:tr>
        <w:tc>
          <w:tcPr>
            <w:tcW w:type="dxa" w:w="324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本轮阶段与拟定日期</w:t>
            </w:r>
          </w:p>
        </w:tc>
        <w:tc>
          <w:tcPr>
            <w:tcW w:type="dxa" w:w="691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</w:tr>
      <w:tr>
        <w:tc>
          <w:tcPr>
            <w:tcW w:type="dxa" w:w="3240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编制人与确认人</w:t>
            </w:r>
          </w:p>
        </w:tc>
        <w:tc>
          <w:tcPr>
            <w:tcW w:type="dxa" w:w="6912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</w:tr>
    </w:tbl>
    <w:p>
      <w:pPr>
        <w:spacing w:after="0"/>
      </w:pPr>
    </w:p>
    <w:p>
      <w:r>
        <w:rPr>
          <w:b/>
          <w:rFonts w:ascii="Arial Unicode MS" w:hAnsi="Arial Unicode MS" w:eastAsia="Arial Unicode MS" w:cs="Arial Unicode MS"/>
        </w:rPr>
        <w:t xml:space="preserve">本轮只要回答的核心问题  </w:t>
      </w:r>
      <w:r>
        <w:rPr>
          <w:rFonts w:ascii="Arial Unicode MS" w:hAnsi="Arial Unicode MS" w:eastAsia="Arial Unicode MS" w:cs="Arial Unicode MS"/>
        </w:rPr>
        <w:t>待填写</w:t>
      </w:r>
    </w:p>
    <w:p>
      <w:pPr>
        <w:spacing w:after="60"/>
      </w:pPr>
      <w:r>
        <w:rPr>
          <w:color w:val="AAAAAA"/>
          <w:sz w:val="18"/>
          <w:rFonts w:ascii="Arial Unicode MS" w:hAnsi="Arial Unicode MS" w:eastAsia="Arial Unicode MS" w:cs="Arial Unicode MS"/>
        </w:rPr>
        <w:t>________________________________________________________________________</w:t>
      </w:r>
    </w:p>
    <w:p>
      <w:pPr>
        <w:spacing w:after="60"/>
      </w:pPr>
      <w:r>
        <w:rPr>
          <w:color w:val="AAAAAA"/>
          <w:sz w:val="18"/>
          <w:rFonts w:ascii="Arial Unicode MS" w:hAnsi="Arial Unicode MS" w:eastAsia="Arial Unicode MS" w:cs="Arial Unicode MS"/>
        </w:rPr>
        <w:t>________________________________________________________________________</w:t>
      </w:r>
    </w:p>
    <w:p>
      <w:r>
        <w:rPr>
          <w:b/>
          <w:rFonts w:ascii="Arial Unicode MS" w:hAnsi="Arial Unicode MS" w:eastAsia="Arial Unicode MS" w:cs="Arial Unicode MS"/>
        </w:rPr>
        <w:t xml:space="preserve">现用对照及已有事实  </w:t>
      </w:r>
      <w:r>
        <w:rPr>
          <w:rFonts w:ascii="Arial Unicode MS" w:hAnsi="Arial Unicode MS" w:eastAsia="Arial Unicode MS" w:cs="Arial Unicode MS"/>
        </w:rPr>
        <w:t>待填写</w:t>
      </w:r>
    </w:p>
    <w:p>
      <w:pPr>
        <w:spacing w:after="60"/>
      </w:pPr>
      <w:r>
        <w:rPr>
          <w:color w:val="AAAAAA"/>
          <w:sz w:val="18"/>
          <w:rFonts w:ascii="Arial Unicode MS" w:hAnsi="Arial Unicode MS" w:eastAsia="Arial Unicode MS" w:cs="Arial Unicode MS"/>
        </w:rPr>
        <w:t>________________________________________________________________________</w:t>
      </w:r>
    </w:p>
    <w:p>
      <w:pPr>
        <w:spacing w:after="60"/>
      </w:pPr>
      <w:r>
        <w:rPr>
          <w:color w:val="AAAAAA"/>
          <w:sz w:val="18"/>
          <w:rFonts w:ascii="Arial Unicode MS" w:hAnsi="Arial Unicode MS" w:eastAsia="Arial Unicode MS" w:cs="Arial Unicode MS"/>
        </w:rPr>
        <w:t>________________________________________________________________________</w:t>
      </w:r>
    </w:p>
    <w:p>
      <w:r>
        <w:rPr>
          <w:b/>
          <w:rFonts w:ascii="Arial Unicode MS" w:hAnsi="Arial Unicode MS" w:eastAsia="Arial Unicode MS" w:cs="Arial Unicode MS"/>
        </w:rPr>
        <w:t xml:space="preserve">已知限制与尚缺信息  </w:t>
      </w:r>
      <w:r>
        <w:rPr>
          <w:rFonts w:ascii="Arial Unicode MS" w:hAnsi="Arial Unicode MS" w:eastAsia="Arial Unicode MS" w:cs="Arial Unicode MS"/>
        </w:rPr>
        <w:t>待填写</w:t>
      </w:r>
    </w:p>
    <w:p>
      <w:pPr>
        <w:spacing w:after="60"/>
      </w:pPr>
      <w:r>
        <w:rPr>
          <w:color w:val="AAAAAA"/>
          <w:sz w:val="18"/>
          <w:rFonts w:ascii="Arial Unicode MS" w:hAnsi="Arial Unicode MS" w:eastAsia="Arial Unicode MS" w:cs="Arial Unicode MS"/>
        </w:rPr>
        <w:t>________________________________________________________________________</w:t>
      </w:r>
    </w:p>
    <w:p>
      <w:pPr>
        <w:pStyle w:val="Heading1"/>
        <w:pageBreakBefore/>
      </w:pPr>
      <w:r>
        <w:rPr>
          <w:rFonts w:ascii="Arial Unicode MS" w:hAnsi="Arial Unicode MS" w:eastAsia="Arial Unicode MS" w:cs="Arial Unicode MS"/>
        </w:rPr>
        <w:t>试样与比较安排</w:t>
      </w:r>
    </w:p>
    <w:p>
      <w:r>
        <w:rPr>
          <w:rFonts w:ascii="Arial Unicode MS" w:hAnsi="Arial Unicode MS" w:eastAsia="Arial Unicode MS" w:cs="Arial Unicode MS"/>
        </w:rPr>
        <w:t>将方案、样品和原始文件对应到同一编号。先固定关键条件，再改变本轮因素；新增层位、材料或工艺后，说明需要重新判断哪些结果。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00"/>
        <w:gridCol w:w="2520"/>
        <w:gridCol w:w="2736"/>
        <w:gridCol w:w="3096"/>
      </w:tblGrid>
      <w:tr>
        <w:trPr>
          <w:tblHeader/>
        </w:trPr>
        <w:tc>
          <w:tcPr>
            <w:tcW w:type="dxa" w:w="1800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比较组</w:t>
            </w:r>
          </w:p>
        </w:tc>
        <w:tc>
          <w:tcPr>
            <w:tcW w:type="dxa" w:w="2520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样品与批次</w:t>
            </w:r>
          </w:p>
        </w:tc>
        <w:tc>
          <w:tcPr>
            <w:tcW w:type="dxa" w:w="2736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本轮改变</w:t>
            </w:r>
          </w:p>
        </w:tc>
        <w:tc>
          <w:tcPr>
            <w:tcW w:type="dxa" w:w="3096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保持一致的条件</w:t>
            </w:r>
          </w:p>
        </w:tc>
      </w:tr>
      <w:tr>
        <w:tc>
          <w:tcPr>
            <w:tcW w:type="dxa" w:w="180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现用对照</w:t>
            </w:r>
          </w:p>
        </w:tc>
        <w:tc>
          <w:tcPr>
            <w:tcW w:type="dxa" w:w="252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  <w:tc>
          <w:tcPr>
            <w:tcW w:type="dxa" w:w="309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</w:tr>
      <w:tr>
        <w:tc>
          <w:tcPr>
            <w:tcW w:type="dxa" w:w="1800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候选方案</w:t>
            </w:r>
          </w:p>
        </w:tc>
        <w:tc>
          <w:tcPr>
            <w:tcW w:type="dxa" w:w="2520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  <w:tc>
          <w:tcPr>
            <w:tcW w:type="dxa" w:w="2736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  <w:tc>
          <w:tcPr>
            <w:tcW w:type="dxa" w:w="3096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</w:tr>
      <w:tr>
        <w:tc>
          <w:tcPr>
            <w:tcW w:type="dxa" w:w="180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必要空白或过程对照</w:t>
            </w:r>
          </w:p>
        </w:tc>
        <w:tc>
          <w:tcPr>
            <w:tcW w:type="dxa" w:w="252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待确认是否需要</w:t>
            </w:r>
          </w:p>
        </w:tc>
        <w:tc>
          <w:tcPr>
            <w:tcW w:type="dxa" w:w="27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  <w:tc>
          <w:tcPr>
            <w:tcW w:type="dxa" w:w="309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</w:tr>
    </w:tbl>
    <w:p>
      <w:pPr>
        <w:spacing w:after="0"/>
      </w:pPr>
    </w:p>
    <w:p>
      <w:r>
        <w:rPr>
          <w:b/>
          <w:rFonts w:ascii="Arial Unicode MS" w:hAnsi="Arial Unicode MS" w:eastAsia="Arial Unicode MS" w:cs="Arial Unicode MS"/>
        </w:rPr>
        <w:t xml:space="preserve">取样单位与独立批次  </w:t>
      </w:r>
      <w:r>
        <w:rPr>
          <w:rFonts w:ascii="Arial Unicode MS" w:hAnsi="Arial Unicode MS" w:eastAsia="Arial Unicode MS" w:cs="Arial Unicode MS"/>
        </w:rPr>
        <w:t>待填写</w:t>
      </w:r>
    </w:p>
    <w:p>
      <w:pPr>
        <w:spacing w:after="60"/>
      </w:pPr>
      <w:r>
        <w:rPr>
          <w:color w:val="AAAAAA"/>
          <w:sz w:val="18"/>
          <w:rFonts w:ascii="Arial Unicode MS" w:hAnsi="Arial Unicode MS" w:eastAsia="Arial Unicode MS" w:cs="Arial Unicode MS"/>
        </w:rPr>
        <w:t>________________________________________________________________________</w:t>
      </w:r>
    </w:p>
    <w:p>
      <w:r>
        <w:rPr>
          <w:rFonts w:ascii="Arial Unicode MS" w:hAnsi="Arial Unicode MS" w:eastAsia="Arial Unicode MS" w:cs="Arial Unicode MS"/>
        </w:rPr>
        <w:t>分别约定每批独立样品数、批次数、时间点、重复测量和留样。不能把同一包装的重复观察当成多个独立包装。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99"/>
        <w:gridCol w:w="2376"/>
        <w:gridCol w:w="2232"/>
        <w:gridCol w:w="2232"/>
        <w:gridCol w:w="1613"/>
      </w:tblGrid>
      <w:tr>
        <w:trPr>
          <w:tblHeader/>
        </w:trPr>
        <w:tc>
          <w:tcPr>
            <w:tcW w:type="dxa" w:w="1699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评价项</w:t>
            </w:r>
          </w:p>
        </w:tc>
        <w:tc>
          <w:tcPr>
            <w:tcW w:type="dxa" w:w="2376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方法及版本</w:t>
            </w:r>
          </w:p>
        </w:tc>
        <w:tc>
          <w:tcPr>
            <w:tcW w:type="dxa" w:w="2232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条件与单位</w:t>
            </w:r>
          </w:p>
        </w:tc>
        <w:tc>
          <w:tcPr>
            <w:tcW w:type="dxa" w:w="2232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接受条件</w:t>
            </w:r>
          </w:p>
        </w:tc>
        <w:tc>
          <w:tcPr>
            <w:tcW w:type="dxa" w:w="1613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确认人</w:t>
            </w:r>
          </w:p>
        </w:tc>
      </w:tr>
      <w:tr>
        <w:tc>
          <w:tcPr>
            <w:tcW w:type="dxa" w:w="1699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主要功能</w:t>
            </w:r>
          </w:p>
        </w:tc>
        <w:tc>
          <w:tcPr>
            <w:tcW w:type="dxa" w:w="237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待约定</w:t>
            </w:r>
          </w:p>
        </w:tc>
        <w:tc>
          <w:tcPr>
            <w:tcW w:type="dxa" w:w="223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待约定</w:t>
            </w:r>
          </w:p>
        </w:tc>
        <w:tc>
          <w:tcPr>
            <w:tcW w:type="dxa" w:w="223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待共同确认</w:t>
            </w:r>
          </w:p>
        </w:tc>
        <w:tc>
          <w:tcPr>
            <w:tcW w:type="dxa" w:w="1613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待认领</w:t>
            </w:r>
          </w:p>
        </w:tc>
      </w:tr>
      <w:tr>
        <w:tc>
          <w:tcPr>
            <w:tcW w:type="dxa" w:w="1699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结构及接头</w:t>
            </w:r>
          </w:p>
        </w:tc>
        <w:tc>
          <w:tcPr>
            <w:tcW w:type="dxa" w:w="2376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待约定</w:t>
            </w:r>
          </w:p>
        </w:tc>
        <w:tc>
          <w:tcPr>
            <w:tcW w:type="dxa" w:w="2232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待约定</w:t>
            </w:r>
          </w:p>
        </w:tc>
        <w:tc>
          <w:tcPr>
            <w:tcW w:type="dxa" w:w="2232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待共同确认</w:t>
            </w:r>
          </w:p>
        </w:tc>
        <w:tc>
          <w:tcPr>
            <w:tcW w:type="dxa" w:w="1613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待认领</w:t>
            </w:r>
          </w:p>
        </w:tc>
      </w:tr>
      <w:tr>
        <w:tc>
          <w:tcPr>
            <w:tcW w:type="dxa" w:w="1699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实际使用终点</w:t>
            </w:r>
          </w:p>
        </w:tc>
        <w:tc>
          <w:tcPr>
            <w:tcW w:type="dxa" w:w="237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待约定</w:t>
            </w:r>
          </w:p>
        </w:tc>
        <w:tc>
          <w:tcPr>
            <w:tcW w:type="dxa" w:w="223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待约定</w:t>
            </w:r>
          </w:p>
        </w:tc>
        <w:tc>
          <w:tcPr>
            <w:tcW w:type="dxa" w:w="223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待共同确认</w:t>
            </w:r>
          </w:p>
        </w:tc>
        <w:tc>
          <w:tcPr>
            <w:tcW w:type="dxa" w:w="1613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待认领</w:t>
            </w:r>
          </w:p>
        </w:tc>
      </w:tr>
      <w:tr>
        <w:tc>
          <w:tcPr>
            <w:tcW w:type="dxa" w:w="1699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用途与安全资料</w:t>
            </w:r>
          </w:p>
        </w:tc>
        <w:tc>
          <w:tcPr>
            <w:tcW w:type="dxa" w:w="2376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待核对象与范围</w:t>
            </w:r>
          </w:p>
        </w:tc>
        <w:tc>
          <w:tcPr>
            <w:tcW w:type="dxa" w:w="2232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待核</w:t>
            </w:r>
          </w:p>
        </w:tc>
        <w:tc>
          <w:tcPr>
            <w:tcW w:type="dxa" w:w="2232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待共同确认</w:t>
            </w:r>
          </w:p>
        </w:tc>
        <w:tc>
          <w:tcPr>
            <w:tcW w:type="dxa" w:w="1613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待认领</w:t>
            </w:r>
          </w:p>
        </w:tc>
      </w:tr>
    </w:tbl>
    <w:p>
      <w:pPr>
        <w:spacing w:after="0"/>
      </w:pPr>
    </w:p>
    <w:p>
      <w:r>
        <w:rPr>
          <w:b/>
          <w:rFonts w:ascii="Arial Unicode MS" w:hAnsi="Arial Unicode MS" w:eastAsia="Arial Unicode MS" w:cs="Arial Unicode MS"/>
        </w:rPr>
        <w:t xml:space="preserve">设备可调整范围与停止条件  </w:t>
      </w:r>
      <w:r>
        <w:rPr>
          <w:rFonts w:ascii="Arial Unicode MS" w:hAnsi="Arial Unicode MS" w:eastAsia="Arial Unicode MS" w:cs="Arial Unicode MS"/>
        </w:rPr>
        <w:t>待填写</w:t>
      </w:r>
    </w:p>
    <w:p>
      <w:pPr>
        <w:spacing w:after="60"/>
      </w:pPr>
      <w:r>
        <w:rPr>
          <w:color w:val="AAAAAA"/>
          <w:sz w:val="18"/>
          <w:rFonts w:ascii="Arial Unicode MS" w:hAnsi="Arial Unicode MS" w:eastAsia="Arial Unicode MS" w:cs="Arial Unicode MS"/>
        </w:rPr>
        <w:t>________________________________________________________________________</w:t>
      </w:r>
    </w:p>
    <w:p>
      <w:r>
        <w:rPr>
          <w:b/>
          <w:rFonts w:ascii="Arial Unicode MS" w:hAnsi="Arial Unicode MS" w:eastAsia="Arial Unicode MS" w:cs="Arial Unicode MS"/>
        </w:rPr>
        <w:t xml:space="preserve">试验前尚须补齐的资料与样品  </w:t>
      </w:r>
      <w:r>
        <w:rPr>
          <w:rFonts w:ascii="Arial Unicode MS" w:hAnsi="Arial Unicode MS" w:eastAsia="Arial Unicode MS" w:cs="Arial Unicode MS"/>
        </w:rPr>
        <w:t>待填写</w:t>
      </w:r>
    </w:p>
    <w:p>
      <w:pPr>
        <w:spacing w:after="60"/>
      </w:pPr>
      <w:r>
        <w:rPr>
          <w:color w:val="AAAAAA"/>
          <w:sz w:val="18"/>
          <w:rFonts w:ascii="Arial Unicode MS" w:hAnsi="Arial Unicode MS" w:eastAsia="Arial Unicode MS" w:cs="Arial Unicode MS"/>
        </w:rPr>
        <w:t>________________________________________________________________________</w:t>
      </w:r>
    </w:p>
    <w:p>
      <w:pPr>
        <w:pStyle w:val="Heading1"/>
        <w:pageBreakBefore/>
      </w:pPr>
      <w:r>
        <w:rPr>
          <w:rFonts w:ascii="Arial Unicode MS" w:hAnsi="Arial Unicode MS" w:eastAsia="Arial Unicode MS" w:cs="Arial Unicode MS"/>
        </w:rPr>
        <w:t>原始记录与变更</w:t>
      </w:r>
    </w:p>
    <w:p>
      <w:r>
        <w:rPr>
          <w:rFonts w:ascii="Arial Unicode MS" w:hAnsi="Arial Unicode MS" w:eastAsia="Arial Unicode MS" w:cs="Arial Unicode MS"/>
        </w:rPr>
        <w:t>在配套《问题与样品记录》工作簿中保存逐条观察。本任务书只汇总原始记录的定位、适用范围和仍待核实的解释。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88"/>
        <w:gridCol w:w="8064"/>
      </w:tblGrid>
      <w:tr>
        <w:trPr>
          <w:tblHeader/>
        </w:trPr>
        <w:tc>
          <w:tcPr>
            <w:tcW w:type="dxa" w:w="2088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记录对象</w:t>
            </w:r>
          </w:p>
        </w:tc>
        <w:tc>
          <w:tcPr>
            <w:tcW w:type="dxa" w:w="8064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最少保留内容</w:t>
            </w:r>
          </w:p>
        </w:tc>
      </w:tr>
      <w:tr>
        <w:tc>
          <w:tcPr>
            <w:tcW w:type="dxa" w:w="20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材料及文件</w:t>
            </w:r>
          </w:p>
        </w:tc>
        <w:tc>
          <w:tcPr>
            <w:tcW w:type="dxa" w:w="806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对外牌号、结构、供应文件版本、批次、取样与保存条件</w:t>
            </w:r>
          </w:p>
        </w:tc>
      </w:tr>
      <w:tr>
        <w:tc>
          <w:tcPr>
            <w:tcW w:type="dxa" w:w="2088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加工过程</w:t>
            </w:r>
          </w:p>
        </w:tc>
        <w:tc>
          <w:tcPr>
            <w:tcW w:type="dxa" w:w="8064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对应工位、时间、设备、实际条件、调整记录及异常</w:t>
            </w:r>
          </w:p>
        </w:tc>
      </w:tr>
      <w:tr>
        <w:tc>
          <w:tcPr>
            <w:tcW w:type="dxa" w:w="20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观察与结果</w:t>
            </w:r>
          </w:p>
        </w:tc>
        <w:tc>
          <w:tcPr>
            <w:tcW w:type="dxa" w:w="806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样品编号、方法、单位、条件、数值或描述、失效/观察截止时间</w:t>
            </w:r>
          </w:p>
        </w:tc>
      </w:tr>
      <w:tr>
        <w:tc>
          <w:tcPr>
            <w:tcW w:type="dxa" w:w="2088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证据入口</w:t>
            </w:r>
          </w:p>
        </w:tc>
        <w:tc>
          <w:tcPr>
            <w:tcW w:type="dxa" w:w="8064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原始报告或照片编号、保存位置、记录人和使用范围</w:t>
            </w:r>
          </w:p>
        </w:tc>
      </w:tr>
      <w:tr>
        <w:tc>
          <w:tcPr>
            <w:tcW w:type="dxa" w:w="20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解释与假设</w:t>
            </w:r>
          </w:p>
        </w:tc>
        <w:tc>
          <w:tcPr>
            <w:tcW w:type="dxa" w:w="806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已观察事实、可能原因、可区分下一步的比较分别填写</w:t>
            </w:r>
          </w:p>
        </w:tc>
      </w:tr>
    </w:tbl>
    <w:p>
      <w:pPr>
        <w:spacing w:after="0"/>
      </w:pPr>
    </w:p>
    <w:p>
      <w:r>
        <w:rPr>
          <w:b/>
          <w:rFonts w:ascii="Arial Unicode MS" w:hAnsi="Arial Unicode MS" w:eastAsia="Arial Unicode MS" w:cs="Arial Unicode MS"/>
        </w:rPr>
        <w:t xml:space="preserve">原始文件目录或记录编号  </w:t>
      </w:r>
      <w:r>
        <w:rPr>
          <w:rFonts w:ascii="Arial Unicode MS" w:hAnsi="Arial Unicode MS" w:eastAsia="Arial Unicode MS" w:cs="Arial Unicode MS"/>
        </w:rPr>
        <w:t>待填写</w:t>
      </w:r>
    </w:p>
    <w:p>
      <w:pPr>
        <w:spacing w:after="60"/>
      </w:pPr>
      <w:r>
        <w:rPr>
          <w:color w:val="AAAAAA"/>
          <w:sz w:val="18"/>
          <w:rFonts w:ascii="Arial Unicode MS" w:hAnsi="Arial Unicode MS" w:eastAsia="Arial Unicode MS" w:cs="Arial Unicode MS"/>
        </w:rPr>
        <w:t>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584"/>
        <w:gridCol w:w="2448"/>
        <w:gridCol w:w="2520"/>
        <w:gridCol w:w="3600"/>
      </w:tblGrid>
      <w:tr>
        <w:trPr>
          <w:tblHeader/>
        </w:trPr>
        <w:tc>
          <w:tcPr>
            <w:tcW w:type="dxa" w:w="1584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变更编号</w:t>
            </w:r>
          </w:p>
        </w:tc>
        <w:tc>
          <w:tcPr>
            <w:tcW w:type="dxa" w:w="2448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改变了什么</w:t>
            </w:r>
          </w:p>
        </w:tc>
        <w:tc>
          <w:tcPr>
            <w:tcW w:type="dxa" w:w="2520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影响哪些对象</w:t>
            </w:r>
          </w:p>
        </w:tc>
        <w:tc>
          <w:tcPr>
            <w:tcW w:type="dxa" w:w="3600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需重做的验证与依据</w:t>
            </w:r>
          </w:p>
        </w:tc>
      </w:tr>
      <w:tr>
        <w:tc>
          <w:tcPr>
            <w:tcW w:type="dxa" w:w="158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  <w:tc>
          <w:tcPr>
            <w:tcW w:type="dxa" w:w="244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  <w:tc>
          <w:tcPr>
            <w:tcW w:type="dxa" w:w="252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  <w:tc>
          <w:tcPr>
            <w:tcW w:type="dxa" w:w="360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</w:tr>
      <w:tr>
        <w:tc>
          <w:tcPr>
            <w:tcW w:type="dxa" w:w="1584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  <w:tc>
          <w:tcPr>
            <w:tcW w:type="dxa" w:w="2448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  <w:tc>
          <w:tcPr>
            <w:tcW w:type="dxa" w:w="2520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  <w:tc>
          <w:tcPr>
            <w:tcW w:type="dxa" w:w="3600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</w:tr>
    </w:tbl>
    <w:p>
      <w:pPr>
        <w:spacing w:after="0"/>
      </w:pPr>
    </w:p>
    <w:p>
      <w:r>
        <w:rPr>
          <w:b/>
          <w:rFonts w:ascii="Arial Unicode MS" w:hAnsi="Arial Unicode MS" w:eastAsia="Arial Unicode MS" w:cs="Arial Unicode MS"/>
        </w:rPr>
        <w:t xml:space="preserve">异常处理与样品保留  </w:t>
      </w:r>
      <w:r>
        <w:rPr>
          <w:rFonts w:ascii="Arial Unicode MS" w:hAnsi="Arial Unicode MS" w:eastAsia="Arial Unicode MS" w:cs="Arial Unicode MS"/>
        </w:rPr>
        <w:t>待填写</w:t>
      </w:r>
    </w:p>
    <w:p>
      <w:pPr>
        <w:spacing w:after="60"/>
      </w:pPr>
      <w:r>
        <w:rPr>
          <w:color w:val="AAAAAA"/>
          <w:sz w:val="18"/>
          <w:rFonts w:ascii="Arial Unicode MS" w:hAnsi="Arial Unicode MS" w:eastAsia="Arial Unicode MS" w:cs="Arial Unicode MS"/>
        </w:rPr>
        <w:t>________________________________________________________________________</w:t>
      </w:r>
    </w:p>
    <w:p>
      <w:pPr>
        <w:spacing w:after="60"/>
      </w:pPr>
      <w:r>
        <w:rPr>
          <w:color w:val="AAAAAA"/>
          <w:sz w:val="18"/>
          <w:rFonts w:ascii="Arial Unicode MS" w:hAnsi="Arial Unicode MS" w:eastAsia="Arial Unicode MS" w:cs="Arial Unicode MS"/>
        </w:rPr>
        <w:t>________________________________________________________________________</w:t>
      </w:r>
    </w:p>
    <w:p>
      <w:r>
        <w:rPr>
          <w:rFonts w:ascii="Arial Unicode MS" w:hAnsi="Arial Unicode MS" w:eastAsia="Arial Unicode MS" w:cs="Arial Unicode MS"/>
        </w:rPr>
        <w:t>食品接触、回收、堆肥和成本分别使用相应对象与证据。组件资料、行业参照或材料平纸数据不能直接替代完整制品的结果。</w:t>
      </w:r>
    </w:p>
    <w:p>
      <w:pPr>
        <w:pStyle w:val="Heading1"/>
        <w:pageBreakBefore/>
      </w:pPr>
      <w:r>
        <w:rPr>
          <w:rFonts w:ascii="Arial Unicode MS" w:hAnsi="Arial Unicode MS" w:eastAsia="Arial Unicode MS" w:cs="Arial Unicode MS"/>
        </w:rPr>
        <w:t>热饮杯验证附页</w:t>
      </w:r>
    </w:p>
    <w:p>
      <w:r>
        <w:rPr>
          <w:rFonts w:ascii="Arial Unicode MS" w:hAnsi="Arial Unicode MS" w:eastAsia="Arial Unicode MS" w:cs="Arial Unicode MS"/>
        </w:rPr>
        <w:t>用于热咖啡与茶饮阻隔纸杯。下列为验证设计提示，数值和接受条件由具体项目确认。其他杯型按实际用途调整。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6984"/>
      </w:tblGrid>
      <w:tr>
        <w:trPr>
          <w:tblHeader/>
        </w:trPr>
        <w:tc>
          <w:tcPr>
            <w:tcW w:type="dxa" w:w="3168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用途或结构</w:t>
            </w:r>
          </w:p>
        </w:tc>
        <w:tc>
          <w:tcPr>
            <w:tcW w:type="dxa" w:w="6984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项目填写</w:t>
            </w:r>
          </w:p>
        </w:tc>
      </w:tr>
      <w:tr>
        <w:tc>
          <w:tcPr>
            <w:tcW w:type="dxa" w:w="316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杯型 容量 杯盖</w:t>
            </w:r>
          </w:p>
        </w:tc>
        <w:tc>
          <w:tcPr>
            <w:tcW w:type="dxa" w:w="698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</w:tr>
      <w:tr>
        <w:tc>
          <w:tcPr>
            <w:tcW w:type="dxa" w:w="3168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饮料 灌装温度 持用时间</w:t>
            </w:r>
          </w:p>
        </w:tc>
        <w:tc>
          <w:tcPr>
            <w:tcW w:type="dxa" w:w="6984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待填写，并明确使用动作与评价终点</w:t>
            </w:r>
          </w:p>
        </w:tc>
      </w:tr>
      <w:tr>
        <w:tc>
          <w:tcPr>
            <w:tcW w:type="dxa" w:w="316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杯身和杯底配对</w:t>
            </w:r>
          </w:p>
        </w:tc>
        <w:tc>
          <w:tcPr>
            <w:tcW w:type="dxa" w:w="698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待填写纸种、层序、接触面、批次及封合面</w:t>
            </w:r>
          </w:p>
        </w:tc>
      </w:tr>
      <w:tr>
        <w:tc>
          <w:tcPr>
            <w:tcW w:type="dxa" w:w="3168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成型设备与正常窗口</w:t>
            </w:r>
          </w:p>
        </w:tc>
        <w:tc>
          <w:tcPr>
            <w:tcW w:type="dxa" w:w="6984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待填写速度、真实界面条件及允许调整范围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88"/>
        <w:gridCol w:w="8064"/>
      </w:tblGrid>
      <w:tr>
        <w:trPr>
          <w:tblHeader/>
        </w:trPr>
        <w:tc>
          <w:tcPr>
            <w:tcW w:type="dxa" w:w="2088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检查方向</w:t>
            </w:r>
          </w:p>
        </w:tc>
        <w:tc>
          <w:tcPr>
            <w:tcW w:type="dxa" w:w="8064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需要留下的记录</w:t>
            </w:r>
          </w:p>
        </w:tc>
      </w:tr>
      <w:tr>
        <w:tc>
          <w:tcPr>
            <w:tcW w:type="dxa" w:w="20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完整杯漏液</w:t>
            </w:r>
          </w:p>
        </w:tc>
        <w:tc>
          <w:tcPr>
            <w:tcW w:type="dxa" w:w="806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排除灌装外溢；第一漏点、首次时间、观察截止、侧缝方位与照片</w:t>
            </w:r>
          </w:p>
        </w:tc>
      </w:tr>
      <w:tr>
        <w:tc>
          <w:tcPr>
            <w:tcW w:type="dxa" w:w="2088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侧缝和杯底</w:t>
            </w:r>
          </w:p>
        </w:tc>
        <w:tc>
          <w:tcPr>
            <w:tcW w:type="dxa" w:w="8064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搭接及接触层、滚花位置、界面/涂层/纤维破坏的位置</w:t>
            </w:r>
          </w:p>
        </w:tc>
      </w:tr>
      <w:tr>
        <w:tc>
          <w:tcPr>
            <w:tcW w:type="dxa" w:w="20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蹭墨或粘连</w:t>
            </w:r>
          </w:p>
        </w:tc>
        <w:tc>
          <w:tcPr>
            <w:tcW w:type="dxa" w:w="806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无墨与印刷样分开；发生于复卷、堆叠或制杯余热阶段</w:t>
            </w:r>
          </w:p>
        </w:tc>
      </w:tr>
      <w:tr>
        <w:tc>
          <w:tcPr>
            <w:tcW w:type="dxa" w:w="2088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真实使用</w:t>
            </w:r>
          </w:p>
        </w:tc>
        <w:tc>
          <w:tcPr>
            <w:tcW w:type="dxa" w:w="8064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目标饮料、握持、杯盖配合、气味及湿态变形</w:t>
            </w:r>
          </w:p>
        </w:tc>
      </w:tr>
      <w:tr>
        <w:tc>
          <w:tcPr>
            <w:tcW w:type="dxa" w:w="20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制造与成本</w:t>
            </w:r>
          </w:p>
        </w:tc>
        <w:tc>
          <w:tcPr>
            <w:tcW w:type="dxa" w:w="806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正常机器窗口、批间变化、合格杯产出和同口径成本</w:t>
            </w:r>
          </w:p>
        </w:tc>
      </w:tr>
    </w:tbl>
    <w:p>
      <w:pPr>
        <w:spacing w:after="0"/>
      </w:pPr>
    </w:p>
    <w:p>
      <w:r>
        <w:rPr>
          <w:b/>
          <w:rFonts w:ascii="Arial Unicode MS" w:hAnsi="Arial Unicode MS" w:eastAsia="Arial Unicode MS" w:cs="Arial Unicode MS"/>
        </w:rPr>
        <w:t xml:space="preserve">本轮优先比较与样品编号  </w:t>
      </w:r>
      <w:r>
        <w:rPr>
          <w:rFonts w:ascii="Arial Unicode MS" w:hAnsi="Arial Unicode MS" w:eastAsia="Arial Unicode MS" w:cs="Arial Unicode MS"/>
        </w:rPr>
        <w:t>待填写</w:t>
      </w:r>
    </w:p>
    <w:p>
      <w:pPr>
        <w:spacing w:after="60"/>
      </w:pPr>
      <w:r>
        <w:rPr>
          <w:color w:val="AAAAAA"/>
          <w:sz w:val="18"/>
          <w:rFonts w:ascii="Arial Unicode MS" w:hAnsi="Arial Unicode MS" w:eastAsia="Arial Unicode MS" w:cs="Arial Unicode MS"/>
        </w:rPr>
        <w:t>________________________________________________________________________</w:t>
      </w:r>
    </w:p>
    <w:p>
      <w:r>
        <w:rPr>
          <w:b/>
          <w:rFonts w:ascii="Arial Unicode MS" w:hAnsi="Arial Unicode MS" w:eastAsia="Arial Unicode MS" w:cs="Arial Unicode MS"/>
        </w:rPr>
        <w:t xml:space="preserve">继续或改道必须看到的证据  </w:t>
      </w:r>
      <w:r>
        <w:rPr>
          <w:rFonts w:ascii="Arial Unicode MS" w:hAnsi="Arial Unicode MS" w:eastAsia="Arial Unicode MS" w:cs="Arial Unicode MS"/>
        </w:rPr>
        <w:t>待填写</w:t>
      </w:r>
    </w:p>
    <w:p>
      <w:pPr>
        <w:spacing w:after="60"/>
      </w:pPr>
      <w:r>
        <w:rPr>
          <w:color w:val="AAAAAA"/>
          <w:sz w:val="18"/>
          <w:rFonts w:ascii="Arial Unicode MS" w:hAnsi="Arial Unicode MS" w:eastAsia="Arial Unicode MS" w:cs="Arial Unicode MS"/>
        </w:rPr>
        <w:t>________________________________________________________________________</w:t>
      </w:r>
    </w:p>
    <w:p>
      <w:r>
        <w:rPr>
          <w:rFonts w:ascii="Arial Unicode MS" w:hAnsi="Arial Unicode MS" w:eastAsia="Arial Unicode MS" w:cs="Arial Unicode MS"/>
        </w:rPr>
        <w:t>来源：平台《热饮纸杯的材料选择与整杯验证》及《纸杯成型后蹭墨的分层排查》。匿名案例当前保留结果缺口，不作为已解决问题的证明。</w:t>
      </w:r>
    </w:p>
    <w:p>
      <w:pPr>
        <w:pStyle w:val="Heading1"/>
        <w:pageBreakBefore/>
      </w:pPr>
      <w:r>
        <w:rPr>
          <w:rFonts w:ascii="Arial Unicode MS" w:hAnsi="Arial Unicode MS" w:eastAsia="Arial Unicode MS" w:cs="Arial Unicode MS"/>
        </w:rPr>
        <w:t>烘焙袋验证附页</w:t>
      </w:r>
    </w:p>
    <w:p>
      <w:r>
        <w:rPr>
          <w:rFonts w:ascii="Arial Unicode MS" w:hAnsi="Arial Unicode MS" w:eastAsia="Arial Unicode MS" w:cs="Arial Unicode MS"/>
        </w:rPr>
        <w:t>用于现烤含油面包的零售交付。先选择一种代表食品，区分表皮和内部目标。长保密封包装需另行定义用途和验证范围。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6984"/>
      </w:tblGrid>
      <w:tr>
        <w:trPr>
          <w:tblHeader/>
        </w:trPr>
        <w:tc>
          <w:tcPr>
            <w:tcW w:type="dxa" w:w="3168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用途或结构</w:t>
            </w:r>
          </w:p>
        </w:tc>
        <w:tc>
          <w:tcPr>
            <w:tcW w:type="dxa" w:w="6984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项目填写</w:t>
            </w:r>
          </w:p>
        </w:tc>
      </w:tr>
      <w:tr>
        <w:tc>
          <w:tcPr>
            <w:tcW w:type="dxa" w:w="316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食品品类与批次</w:t>
            </w:r>
          </w:p>
        </w:tc>
        <w:tc>
          <w:tcPr>
            <w:tcW w:type="dxa" w:w="698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待填写油脂接触、单袋数量及目标口感</w:t>
            </w:r>
          </w:p>
        </w:tc>
      </w:tr>
      <w:tr>
        <w:tc>
          <w:tcPr>
            <w:tcW w:type="dxa" w:w="3168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冷却 装袋 陈列 食用</w:t>
            </w:r>
          </w:p>
        </w:tc>
        <w:tc>
          <w:tcPr>
            <w:tcW w:type="dxa" w:w="6984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待填写流程、表面温度与评价节点</w:t>
            </w:r>
          </w:p>
        </w:tc>
      </w:tr>
      <w:tr>
        <w:tc>
          <w:tcPr>
            <w:tcW w:type="dxa" w:w="316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袋纸及功能处理</w:t>
            </w:r>
          </w:p>
        </w:tc>
        <w:tc>
          <w:tcPr>
            <w:tcW w:type="dxa" w:w="698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待填写层位、单/双面、局部处理比例及批次</w:t>
            </w:r>
          </w:p>
        </w:tc>
      </w:tr>
      <w:tr>
        <w:tc>
          <w:tcPr>
            <w:tcW w:type="dxa" w:w="3168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袋口 窗口 胶线 折底</w:t>
            </w:r>
          </w:p>
        </w:tc>
        <w:tc>
          <w:tcPr>
            <w:tcW w:type="dxa" w:w="6984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待填写完整结构和实际接触位置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88"/>
        <w:gridCol w:w="8064"/>
      </w:tblGrid>
      <w:tr>
        <w:trPr>
          <w:tblHeader/>
        </w:trPr>
        <w:tc>
          <w:tcPr>
            <w:tcW w:type="dxa" w:w="2088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检查方向</w:t>
            </w:r>
          </w:p>
        </w:tc>
        <w:tc>
          <w:tcPr>
            <w:tcW w:type="dxa" w:w="8064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需要留下的记录</w:t>
            </w:r>
          </w:p>
        </w:tc>
      </w:tr>
      <w:tr>
        <w:tc>
          <w:tcPr>
            <w:tcW w:type="dxa" w:w="20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两段时间</w:t>
            </w:r>
          </w:p>
        </w:tc>
        <w:tc>
          <w:tcPr>
            <w:tcW w:type="dxa" w:w="806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出炉至评价、装袋至评价分别记录；装袋前食品状态作基线</w:t>
            </w:r>
          </w:p>
        </w:tc>
      </w:tr>
      <w:tr>
        <w:tc>
          <w:tcPr>
            <w:tcW w:type="dxa" w:w="2088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油斑与凝露</w:t>
            </w:r>
          </w:p>
        </w:tc>
        <w:tc>
          <w:tcPr>
            <w:tcW w:type="dxa" w:w="8064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分别记录位置和变化；折痕、胶区和食品集中接触区独立观察</w:t>
            </w:r>
          </w:p>
        </w:tc>
      </w:tr>
      <w:tr>
        <w:tc>
          <w:tcPr>
            <w:tcW w:type="dxa" w:w="20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食品终点</w:t>
            </w:r>
          </w:p>
        </w:tc>
        <w:tc>
          <w:tcPr>
            <w:tcW w:type="dxa" w:w="806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表皮和内部的接受条件分别约定；保留评价方式和独立包装样</w:t>
            </w:r>
          </w:p>
        </w:tc>
      </w:tr>
      <w:tr>
        <w:tc>
          <w:tcPr>
            <w:tcW w:type="dxa" w:w="2088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制袋及操作</w:t>
            </w:r>
          </w:p>
        </w:tc>
        <w:tc>
          <w:tcPr>
            <w:tcW w:type="dxa" w:w="8064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胶线失效形态、开袋装填、窗口材料、热湿油接触后的接头状态</w:t>
            </w:r>
          </w:p>
        </w:tc>
      </w:tr>
      <w:tr>
        <w:tc>
          <w:tcPr>
            <w:tcW w:type="dxa" w:w="20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经济性</w:t>
            </w:r>
          </w:p>
        </w:tc>
        <w:tc>
          <w:tcPr>
            <w:tcW w:type="dxa" w:w="806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每千合格袋与每千合格食品交付分开；报损归因及计费范围明确</w:t>
            </w:r>
          </w:p>
        </w:tc>
      </w:tr>
    </w:tbl>
    <w:p>
      <w:pPr>
        <w:spacing w:after="0"/>
      </w:pPr>
    </w:p>
    <w:p>
      <w:r>
        <w:rPr>
          <w:b/>
          <w:rFonts w:ascii="Arial Unicode MS" w:hAnsi="Arial Unicode MS" w:eastAsia="Arial Unicode MS" w:cs="Arial Unicode MS"/>
        </w:rPr>
        <w:t xml:space="preserve">本轮优先比较与样品编号  </w:t>
      </w:r>
      <w:r>
        <w:rPr>
          <w:rFonts w:ascii="Arial Unicode MS" w:hAnsi="Arial Unicode MS" w:eastAsia="Arial Unicode MS" w:cs="Arial Unicode MS"/>
        </w:rPr>
        <w:t>待填写</w:t>
      </w:r>
    </w:p>
    <w:p>
      <w:pPr>
        <w:spacing w:after="60"/>
      </w:pPr>
      <w:r>
        <w:rPr>
          <w:color w:val="AAAAAA"/>
          <w:sz w:val="18"/>
          <w:rFonts w:ascii="Arial Unicode MS" w:hAnsi="Arial Unicode MS" w:eastAsia="Arial Unicode MS" w:cs="Arial Unicode MS"/>
        </w:rPr>
        <w:t>________________________________________________________________________</w:t>
      </w:r>
    </w:p>
    <w:p>
      <w:r>
        <w:rPr>
          <w:b/>
          <w:rFonts w:ascii="Arial Unicode MS" w:hAnsi="Arial Unicode MS" w:eastAsia="Arial Unicode MS" w:cs="Arial Unicode MS"/>
        </w:rPr>
        <w:t xml:space="preserve">继续或改道必须看到的证据  </w:t>
      </w:r>
      <w:r>
        <w:rPr>
          <w:rFonts w:ascii="Arial Unicode MS" w:hAnsi="Arial Unicode MS" w:eastAsia="Arial Unicode MS" w:cs="Arial Unicode MS"/>
        </w:rPr>
        <w:t>待填写</w:t>
      </w:r>
    </w:p>
    <w:p>
      <w:pPr>
        <w:spacing w:after="60"/>
      </w:pPr>
      <w:r>
        <w:rPr>
          <w:color w:val="AAAAAA"/>
          <w:sz w:val="18"/>
          <w:rFonts w:ascii="Arial Unicode MS" w:hAnsi="Arial Unicode MS" w:eastAsia="Arial Unicode MS" w:cs="Arial Unicode MS"/>
        </w:rPr>
        <w:t>________________________________________________________________________</w:t>
      </w:r>
    </w:p>
    <w:p>
      <w:r>
        <w:rPr>
          <w:rFonts w:ascii="Arial Unicode MS" w:hAnsi="Arial Unicode MS" w:eastAsia="Arial Unicode MS" w:cs="Arial Unicode MS"/>
        </w:rPr>
        <w:t>来源：平台《烘焙纸袋的材料选择与完整包装验证》及《纸包装问题判断与共用知识》。各评价节点采用独立包装样，避免反复开袋改变条件。</w:t>
      </w:r>
    </w:p>
    <w:p>
      <w:pPr>
        <w:pStyle w:val="Heading1"/>
        <w:pageBreakBefore/>
      </w:pPr>
      <w:r>
        <w:rPr>
          <w:rFonts w:ascii="Arial Unicode MS" w:hAnsi="Arial Unicode MS" w:eastAsia="Arial Unicode MS" w:cs="Arial Unicode MS"/>
        </w:rPr>
        <w:t>阶段决定与确认</w:t>
      </w:r>
    </w:p>
    <w:p>
      <w:r>
        <w:rPr>
          <w:rFonts w:ascii="Arial Unicode MS" w:hAnsi="Arial Unicode MS" w:eastAsia="Arial Unicode MS" w:cs="Arial Unicode MS"/>
        </w:rPr>
        <w:t>由参与方根据原始记录作出本阶段决定，明确允许推进的对象和范围。未确认资料继续保留缺口，不以资料齐全代替产品合格。</w:t>
      </w:r>
    </w:p>
    <w:p>
      <w:r>
        <w:rPr>
          <w:b/>
          <w:rFonts w:ascii="Arial Unicode MS" w:hAnsi="Arial Unicode MS" w:eastAsia="Arial Unicode MS" w:cs="Arial Unicode MS"/>
        </w:rPr>
        <w:t xml:space="preserve">阶段决定  待决定 继续下一阶段 调整后复验 暂停 补充证据  </w:t>
      </w:r>
      <w:r>
        <w:rPr>
          <w:rFonts w:ascii="Arial Unicode MS" w:hAnsi="Arial Unicode MS" w:eastAsia="Arial Unicode MS" w:cs="Arial Unicode MS"/>
        </w:rPr>
        <w:t>待填写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24"/>
        <w:gridCol w:w="7128"/>
      </w:tblGrid>
      <w:tr>
        <w:trPr>
          <w:tblHeader/>
        </w:trPr>
        <w:tc>
          <w:tcPr>
            <w:tcW w:type="dxa" w:w="3024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决定依据</w:t>
            </w:r>
          </w:p>
        </w:tc>
        <w:tc>
          <w:tcPr>
            <w:tcW w:type="dxa" w:w="7128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填写结论并对应原始记录</w:t>
            </w:r>
          </w:p>
        </w:tc>
      </w:tr>
      <w:tr>
        <w:tc>
          <w:tcPr>
            <w:tcW w:type="dxa" w:w="302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可以确认的结果</w:t>
            </w:r>
          </w:p>
        </w:tc>
        <w:tc>
          <w:tcPr>
            <w:tcW w:type="dxa" w:w="712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待填写对象、条件、结果及记录编号</w:t>
            </w:r>
          </w:p>
        </w:tc>
      </w:tr>
      <w:tr>
        <w:tc>
          <w:tcPr>
            <w:tcW w:type="dxa" w:w="3024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尚不能确认的事项</w:t>
            </w:r>
          </w:p>
        </w:tc>
        <w:tc>
          <w:tcPr>
            <w:tcW w:type="dxa" w:w="7128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待填写缺口和对决定的影响</w:t>
            </w:r>
          </w:p>
        </w:tc>
      </w:tr>
      <w:tr>
        <w:tc>
          <w:tcPr>
            <w:tcW w:type="dxa" w:w="302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允许推进的具体范围</w:t>
            </w:r>
          </w:p>
        </w:tc>
        <w:tc>
          <w:tcPr>
            <w:tcW w:type="dxa" w:w="712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待填写杯型/袋型、材料、工艺、用途及阶段</w:t>
            </w:r>
          </w:p>
        </w:tc>
      </w:tr>
      <w:tr>
        <w:tc>
          <w:tcPr>
            <w:tcW w:type="dxa" w:w="3024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需要调整或暂停的原因</w:t>
            </w:r>
          </w:p>
        </w:tc>
        <w:tc>
          <w:tcPr>
            <w:tcW w:type="dxa" w:w="7128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待填写已观察证据与待验证假设</w:t>
            </w:r>
          </w:p>
        </w:tc>
      </w:tr>
      <w:tr>
        <w:tc>
          <w:tcPr>
            <w:tcW w:type="dxa" w:w="302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后续条件</w:t>
            </w:r>
          </w:p>
        </w:tc>
        <w:tc>
          <w:tcPr>
            <w:tcW w:type="dxa" w:w="712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待填写必须先补齐的资料、验证或合作输入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12"/>
        <w:gridCol w:w="2376"/>
        <w:gridCol w:w="1872"/>
        <w:gridCol w:w="2592"/>
      </w:tblGrid>
      <w:tr>
        <w:trPr>
          <w:tblHeader/>
        </w:trPr>
        <w:tc>
          <w:tcPr>
            <w:tcW w:type="dxa" w:w="3312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下一步动作</w:t>
            </w:r>
          </w:p>
        </w:tc>
        <w:tc>
          <w:tcPr>
            <w:tcW w:type="dxa" w:w="2376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责任人及认领</w:t>
            </w:r>
          </w:p>
        </w:tc>
        <w:tc>
          <w:tcPr>
            <w:tcW w:type="dxa" w:w="1872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约定日期</w:t>
            </w:r>
          </w:p>
        </w:tc>
        <w:tc>
          <w:tcPr>
            <w:tcW w:type="dxa" w:w="2592"/>
            <w:shd w:fill="303A3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rFonts w:ascii="Arial Unicode MS" w:hAnsi="Arial Unicode MS" w:eastAsia="Arial Unicode MS" w:cs="Arial Unicode MS"/>
              </w:rPr>
              <w:t>完成证据</w:t>
            </w:r>
          </w:p>
        </w:tc>
      </w:tr>
      <w:tr>
        <w:tc>
          <w:tcPr>
            <w:tcW w:type="dxa" w:w="331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  <w:tc>
          <w:tcPr>
            <w:tcW w:type="dxa" w:w="237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待认领</w:t>
            </w:r>
          </w:p>
        </w:tc>
        <w:tc>
          <w:tcPr>
            <w:tcW w:type="dxa" w:w="187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待约定</w:t>
            </w:r>
          </w:p>
        </w:tc>
        <w:tc>
          <w:tcPr>
            <w:tcW w:type="dxa" w:w="259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</w:tr>
      <w:tr>
        <w:tc>
          <w:tcPr>
            <w:tcW w:type="dxa" w:w="3312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  <w:tc>
          <w:tcPr>
            <w:tcW w:type="dxa" w:w="2376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待认领</w:t>
            </w:r>
          </w:p>
        </w:tc>
        <w:tc>
          <w:tcPr>
            <w:tcW w:type="dxa" w:w="1872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待约定</w:t>
            </w:r>
          </w:p>
        </w:tc>
        <w:tc>
          <w:tcPr>
            <w:tcW w:type="dxa" w:w="2592"/>
            <w:shd w:fill="F5F7F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</w:tr>
      <w:tr>
        <w:tc>
          <w:tcPr>
            <w:tcW w:type="dxa" w:w="331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  <w:tc>
          <w:tcPr>
            <w:tcW w:type="dxa" w:w="237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待认领</w:t>
            </w:r>
          </w:p>
        </w:tc>
        <w:tc>
          <w:tcPr>
            <w:tcW w:type="dxa" w:w="187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待约定</w:t>
            </w:r>
          </w:p>
        </w:tc>
        <w:tc>
          <w:tcPr>
            <w:tcW w:type="dxa" w:w="259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before="60" w:line="264" w:lineRule="auto"/>
            </w:pPr>
            <w:r>
              <w:rPr>
                <w:rFonts w:ascii="Arial Unicode MS" w:hAnsi="Arial Unicode MS" w:eastAsia="Arial Unicode MS" w:cs="Arial Unicode MS"/>
              </w:rPr>
              <w:t>待填写</w:t>
            </w:r>
          </w:p>
        </w:tc>
      </w:tr>
    </w:tbl>
    <w:p>
      <w:pPr>
        <w:spacing w:after="0"/>
      </w:pPr>
    </w:p>
    <w:p>
      <w:r>
        <w:rPr>
          <w:b/>
          <w:rFonts w:ascii="Arial Unicode MS" w:hAnsi="Arial Unicode MS" w:eastAsia="Arial Unicode MS" w:cs="Arial Unicode MS"/>
        </w:rPr>
        <w:t xml:space="preserve">项目确认人及确认日期  </w:t>
      </w:r>
      <w:r>
        <w:rPr>
          <w:rFonts w:ascii="Arial Unicode MS" w:hAnsi="Arial Unicode MS" w:eastAsia="Arial Unicode MS" w:cs="Arial Unicode MS"/>
        </w:rPr>
        <w:t>待填写</w:t>
      </w:r>
    </w:p>
    <w:p>
      <w:pPr>
        <w:spacing w:after="60"/>
      </w:pPr>
      <w:r>
        <w:rPr>
          <w:color w:val="AAAAAA"/>
          <w:sz w:val="18"/>
          <w:rFonts w:ascii="Arial Unicode MS" w:hAnsi="Arial Unicode MS" w:eastAsia="Arial Unicode MS" w:cs="Arial Unicode MS"/>
        </w:rPr>
        <w:t>________________________________________________________________________</w:t>
      </w:r>
    </w:p>
    <w:p>
      <w:r>
        <w:rPr>
          <w:rFonts w:ascii="Arial Unicode MS" w:hAnsi="Arial Unicode MS" w:eastAsia="Arial Unicode MS" w:cs="Arial Unicode MS"/>
        </w:rPr>
        <w:t>本模板内容依据博碳开发者两篇专业指南与《纸包装问题判断与共用知识》，正文版本 2026-10-20.1。阅读路径为平台“专业专题”；具体产品文件、标准版本与用途适用性应在项目中核对。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50" w:right="1037" w:bottom="936" w:left="103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V3.2  可编辑模板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color w:val="505A53"/>
        <w:sz w:val="18"/>
      </w:rPr>
      <w:t>博碳开发者    纸包装产业知识与应用创新平台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 Unicode MS" w:hAnsi="Arial Unicode MS" w:eastAsia="Arial Unicode M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80"/>
      <w:outlineLvl w:val="0"/>
    </w:pPr>
    <w:rPr>
      <w:rFonts w:cstheme="majorBidi" w:ascii="Arial Unicode MS" w:hAnsi="Arial Unicode MS" w:eastAsia="Arial Unicode MS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 w:ascii="Arial Unicode MS" w:hAnsi="Arial Unicode MS" w:eastAsia="Arial Unicode M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Arial Unicode MS" w:hAnsi="Arial Unicode MS" w:eastAsia="Arial Unicode MS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cstheme="majorBidi" w:ascii="Arial Unicode MS" w:hAnsi="Arial Unicode MS" w:eastAsia="Arial Unicode MS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Arial Unicode MS" w:hAnsi="Arial Unicode MS" w:eastAsia="Arial Unicode M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纸包装验证任务书与阶段决定</dc:title>
  <dc:subject>用途定义、样品与比较安排、证据和阶段决定的可编辑模板</dc:subject>
  <dc:creator>博碳开发者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